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F5A" w:rsidRDefault="00294F5A" w:rsidP="00294F5A">
      <w:pPr>
        <w:pStyle w:val="1"/>
        <w:spacing w:beforeAutospacing="0" w:afterAutospacing="0" w:line="520" w:lineRule="exact"/>
        <w:rPr>
          <w:rFonts w:ascii="仿宋" w:eastAsia="仿宋" w:hAnsi="仿宋" w:cs="仿宋" w:hint="default"/>
          <w:sz w:val="28"/>
          <w:szCs w:val="28"/>
        </w:rPr>
      </w:pPr>
      <w:r>
        <w:rPr>
          <w:rFonts w:asciiTheme="majorEastAsia" w:eastAsiaTheme="majorEastAsia" w:hAnsiTheme="majorEastAsia" w:cstheme="majorEastAsia"/>
          <w:bCs/>
          <w:sz w:val="28"/>
          <w:szCs w:val="28"/>
        </w:rPr>
        <w:t xml:space="preserve">           </w:t>
      </w:r>
      <w:bookmarkStart w:id="0" w:name="_GoBack"/>
      <w:bookmarkEnd w:id="0"/>
      <w:r>
        <w:rPr>
          <w:rFonts w:asciiTheme="majorEastAsia" w:eastAsiaTheme="majorEastAsia" w:hAnsiTheme="majorEastAsia" w:cstheme="majorEastAsia"/>
          <w:bCs/>
          <w:sz w:val="28"/>
          <w:szCs w:val="28"/>
        </w:rPr>
        <w:t xml:space="preserve">  环境损害鉴定评估工作收费标准</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为规范环境损害鉴定评估收费行为，促进环境损害鉴定评估工作有序开展，维护委托人和鉴定评估机构的合法权益，2016年3月9日，环境保护部环境规划院组织召开了环境损害鉴定评估工作收费问题讨论会，环境保护部政策法规司、环境损害鉴定评估推荐机构和环境损害鉴定评估试点地方相关代表参加了会议，会议主要对环境损害鉴定评估委托收费目前存在的问题以及解决措施进行了讨论，与会代表一致认为，接受环境损害鉴定评估业务委托的工作机构，应该根据《中国人民共和国价格法》、《关于印发&lt;环境损害鉴定评估推荐机构名录（第一批）&gt;的通知》（</w:t>
      </w:r>
      <w:proofErr w:type="gramStart"/>
      <w:r>
        <w:rPr>
          <w:rFonts w:ascii="仿宋" w:eastAsia="仿宋" w:hAnsi="仿宋" w:cs="仿宋" w:hint="eastAsia"/>
          <w:sz w:val="28"/>
          <w:szCs w:val="28"/>
        </w:rPr>
        <w:t>环办〔2014〕</w:t>
      </w:r>
      <w:proofErr w:type="gramEnd"/>
      <w:r>
        <w:rPr>
          <w:rFonts w:ascii="仿宋" w:eastAsia="仿宋" w:hAnsi="仿宋" w:cs="仿宋" w:hint="eastAsia"/>
          <w:sz w:val="28"/>
          <w:szCs w:val="28"/>
        </w:rPr>
        <w:t>3号）等有关规定收取鉴定评估费用，并达成如下共识： </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1、环境损害鉴定评估机构按照委托事项，与委托人协商收取鉴定评估费用，为委托人提供环境损害鉴定评估服务。</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2、环境损害鉴定评估收费遵循公平合法、自愿有偿、诚实信用的原则 。</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3、环境损害鉴定评估可以按鉴定事项或整体鉴定评估项目的方式收费。 </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4、环境损害鉴定评估机构提出收费项目和数额，由环境损害鉴定评估机构与委托人协商确定。收费时可以考虑以下主要因素：</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（1）耗费的工作时间和执业成本；</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（2）评估业务的难易和缓急程度；</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（3）鉴定评估项目对鉴定评估人员的健康风险</w:t>
      </w:r>
    </w:p>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 xml:space="preserve">    5、环境损害鉴定评估机构接受委托，与委托人签订环境损害鉴定评估服务合同（协议）。合同条款包括：收费项目、收费标准、收费方式、收费金额、付款和结算方式、争议解决方式等条款。 </w:t>
      </w:r>
    </w:p>
    <w:p w:rsidR="00294F5A" w:rsidRDefault="00294F5A" w:rsidP="00294F5A">
      <w:pPr>
        <w:spacing w:line="520" w:lineRule="exact"/>
        <w:ind w:firstLine="560"/>
        <w:rPr>
          <w:rFonts w:ascii="仿宋" w:eastAsia="仿宋" w:hAnsi="仿宋" w:cs="仿宋"/>
          <w:sz w:val="28"/>
          <w:szCs w:val="28"/>
        </w:rPr>
      </w:pPr>
      <w:r>
        <w:rPr>
          <w:rFonts w:ascii="仿宋" w:eastAsia="仿宋" w:hAnsi="仿宋" w:cs="仿宋" w:hint="eastAsia"/>
          <w:sz w:val="28"/>
          <w:szCs w:val="28"/>
        </w:rPr>
        <w:t>6、环境损害鉴定评估服务参考收费标准由基础费用、劳务费、</w:t>
      </w:r>
      <w:r>
        <w:rPr>
          <w:rFonts w:ascii="仿宋" w:eastAsia="仿宋" w:hAnsi="仿宋" w:cs="仿宋" w:hint="eastAsia"/>
          <w:sz w:val="28"/>
          <w:szCs w:val="28"/>
        </w:rPr>
        <w:lastRenderedPageBreak/>
        <w:t>项目支出3部分组成，见下表。</w:t>
      </w:r>
    </w:p>
    <w:p w:rsidR="00294F5A" w:rsidRDefault="00294F5A" w:rsidP="00294F5A">
      <w:pPr>
        <w:spacing w:line="520" w:lineRule="exact"/>
        <w:ind w:firstLine="560"/>
        <w:rPr>
          <w:rFonts w:ascii="仿宋" w:eastAsia="仿宋" w:hAnsi="仿宋" w:cs="仿宋"/>
          <w:sz w:val="28"/>
          <w:szCs w:val="28"/>
        </w:rPr>
      </w:pPr>
    </w:p>
    <w:tbl>
      <w:tblPr>
        <w:tblW w:w="9130" w:type="dxa"/>
        <w:shd w:val="clear" w:color="auto" w:fill="FFFFFF"/>
        <w:tblLayout w:type="fixed"/>
        <w:tblCellMar>
          <w:left w:w="0" w:type="dxa"/>
          <w:right w:w="0" w:type="dxa"/>
        </w:tblCellMar>
        <w:tblLook w:val="04A0"/>
      </w:tblPr>
      <w:tblGrid>
        <w:gridCol w:w="657"/>
        <w:gridCol w:w="1061"/>
        <w:gridCol w:w="2588"/>
        <w:gridCol w:w="2833"/>
        <w:gridCol w:w="667"/>
        <w:gridCol w:w="1324"/>
      </w:tblGrid>
      <w:tr w:rsidR="00294F5A" w:rsidTr="00103A02">
        <w:trPr>
          <w:trHeight w:val="297"/>
        </w:trPr>
        <w:tc>
          <w:tcPr>
            <w:tcW w:w="657" w:type="dxa"/>
            <w:tcBorders>
              <w:top w:val="single" w:sz="6" w:space="0" w:color="auto"/>
              <w:left w:val="single" w:sz="6" w:space="0" w:color="auto"/>
              <w:bottom w:val="single" w:sz="4"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收费项目</w:t>
            </w:r>
          </w:p>
        </w:tc>
        <w:tc>
          <w:tcPr>
            <w:tcW w:w="7149" w:type="dxa"/>
            <w:gridSpan w:val="4"/>
            <w:tcBorders>
              <w:top w:val="single" w:sz="6" w:space="0" w:color="auto"/>
              <w:left w:val="nil"/>
              <w:bottom w:val="single" w:sz="4"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 xml:space="preserve">                  收费标准</w:t>
            </w:r>
          </w:p>
        </w:tc>
        <w:tc>
          <w:tcPr>
            <w:tcW w:w="1324" w:type="dxa"/>
            <w:tcBorders>
              <w:top w:val="single" w:sz="6" w:space="0" w:color="auto"/>
              <w:left w:val="nil"/>
              <w:bottom w:val="single" w:sz="4"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 xml:space="preserve">  备注</w:t>
            </w:r>
          </w:p>
        </w:tc>
      </w:tr>
      <w:tr w:rsidR="00294F5A" w:rsidTr="00103A02">
        <w:trPr>
          <w:cantSplit/>
          <w:trHeight w:val="478"/>
        </w:trPr>
        <w:tc>
          <w:tcPr>
            <w:tcW w:w="65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基础费用</w:t>
            </w:r>
          </w:p>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w:t>
            </w:r>
          </w:p>
        </w:tc>
        <w:tc>
          <w:tcPr>
            <w:tcW w:w="106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突发环境事件损害评估收费标准</w:t>
            </w: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一般突发环境事件</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5万元</w:t>
            </w:r>
          </w:p>
        </w:tc>
        <w:tc>
          <w:tcPr>
            <w:tcW w:w="13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根据项目具体情况可上下浮动</w:t>
            </w: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较大突发环境事件</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10万元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重大突发环境事件</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20万元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特别重大突发环境事件</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40万元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其他环境损害鉴定评估服务收费标准</w:t>
            </w: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污染物性质鉴别</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3万元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因果关系判定</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损害范围与程度确定</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230"/>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损害量化</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5万元</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修复方案设计</w:t>
            </w:r>
          </w:p>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（依工程规模收费）</w:t>
            </w: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&lt;1000万元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10‰</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1000万元-5000万元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8‰</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5000万元-1亿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296"/>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&gt;1亿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3‰</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346"/>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修复工程监理</w:t>
            </w:r>
          </w:p>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（依工程规模收费）</w:t>
            </w: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&lt;1000万元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8‰</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1000万元-5000万元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6‰</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5000万元-1亿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4‰</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&gt;1亿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2‰</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346"/>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环境修复后评估</w:t>
            </w:r>
          </w:p>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（依工程规模收费）</w:t>
            </w: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&lt;1000万元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4‰</w:t>
            </w:r>
          </w:p>
        </w:tc>
        <w:tc>
          <w:tcPr>
            <w:tcW w:w="13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根据项目具体情况可上下浮动</w:t>
            </w:r>
          </w:p>
        </w:tc>
      </w:tr>
      <w:tr w:rsidR="00294F5A" w:rsidTr="00103A02">
        <w:trPr>
          <w:cantSplit/>
          <w:trHeight w:val="19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1000万元-5000万元</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3‰</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297"/>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5000万元-1亿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2‰</w:t>
            </w:r>
          </w:p>
        </w:tc>
        <w:tc>
          <w:tcPr>
            <w:tcW w:w="1324"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98"/>
        </w:trPr>
        <w:tc>
          <w:tcPr>
            <w:tcW w:w="6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06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58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2833"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&gt;1亿</w:t>
            </w:r>
          </w:p>
        </w:tc>
        <w:tc>
          <w:tcPr>
            <w:tcW w:w="667" w:type="dxa"/>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w:t>
            </w:r>
          </w:p>
        </w:tc>
        <w:tc>
          <w:tcPr>
            <w:tcW w:w="132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478"/>
        </w:trPr>
        <w:tc>
          <w:tcPr>
            <w:tcW w:w="65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劳务费</w:t>
            </w:r>
          </w:p>
        </w:tc>
        <w:tc>
          <w:tcPr>
            <w:tcW w:w="364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项目负责人</w:t>
            </w:r>
          </w:p>
        </w:tc>
        <w:tc>
          <w:tcPr>
            <w:tcW w:w="350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1500元/人天</w:t>
            </w:r>
          </w:p>
        </w:tc>
        <w:tc>
          <w:tcPr>
            <w:tcW w:w="13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根据项目具体情况可上下浮动</w:t>
            </w:r>
          </w:p>
        </w:tc>
      </w:tr>
      <w:tr w:rsidR="00294F5A" w:rsidTr="00103A02">
        <w:trPr>
          <w:cantSplit/>
          <w:trHeight w:val="158"/>
        </w:trPr>
        <w:tc>
          <w:tcPr>
            <w:tcW w:w="657" w:type="dxa"/>
            <w:vMerge/>
            <w:tcBorders>
              <w:top w:val="single" w:sz="4" w:space="0" w:color="auto"/>
              <w:left w:val="single" w:sz="4"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single" w:sz="4" w:space="0" w:color="auto"/>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项目工作人员</w:t>
            </w:r>
          </w:p>
        </w:tc>
        <w:tc>
          <w:tcPr>
            <w:tcW w:w="3500" w:type="dxa"/>
            <w:gridSpan w:val="2"/>
            <w:tcBorders>
              <w:top w:val="single" w:sz="4" w:space="0" w:color="auto"/>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800元/人天</w:t>
            </w:r>
          </w:p>
        </w:tc>
        <w:tc>
          <w:tcPr>
            <w:tcW w:w="1324" w:type="dxa"/>
            <w:vMerge/>
            <w:tcBorders>
              <w:top w:val="single" w:sz="4" w:space="0" w:color="auto"/>
              <w:left w:val="nil"/>
              <w:bottom w:val="single" w:sz="6"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445"/>
        </w:trPr>
        <w:tc>
          <w:tcPr>
            <w:tcW w:w="657" w:type="dxa"/>
            <w:vMerge/>
            <w:tcBorders>
              <w:top w:val="nil"/>
              <w:left w:val="single" w:sz="4"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项目助理人员</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500元/人天</w:t>
            </w:r>
          </w:p>
        </w:tc>
        <w:tc>
          <w:tcPr>
            <w:tcW w:w="1324" w:type="dxa"/>
            <w:vMerge/>
            <w:tcBorders>
              <w:top w:val="nil"/>
              <w:left w:val="nil"/>
              <w:bottom w:val="single" w:sz="6" w:space="0" w:color="auto"/>
              <w:right w:val="single" w:sz="4"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478"/>
        </w:trPr>
        <w:tc>
          <w:tcPr>
            <w:tcW w:w="657" w:type="dxa"/>
            <w:vMerge w:val="restart"/>
            <w:tcBorders>
              <w:top w:val="nil"/>
              <w:left w:val="single" w:sz="6" w:space="0" w:color="auto"/>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项目支出</w:t>
            </w: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采样费</w:t>
            </w:r>
          </w:p>
        </w:tc>
        <w:tc>
          <w:tcPr>
            <w:tcW w:w="3500" w:type="dxa"/>
            <w:gridSpan w:val="2"/>
            <w:vMerge w:val="restart"/>
            <w:tcBorders>
              <w:top w:val="nil"/>
              <w:left w:val="nil"/>
              <w:bottom w:val="single" w:sz="6" w:space="0" w:color="auto"/>
              <w:right w:val="single" w:sz="6"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鉴定机构所属地主管部门相关文件，文件未涉及的按实际支出费用计算。</w:t>
            </w:r>
          </w:p>
        </w:tc>
        <w:tc>
          <w:tcPr>
            <w:tcW w:w="1324" w:type="dxa"/>
            <w:vMerge w:val="restart"/>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 </w:t>
            </w:r>
          </w:p>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应不超过国家和地方参考标准或实际价格。</w:t>
            </w: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检测分析费</w:t>
            </w:r>
          </w:p>
        </w:tc>
        <w:tc>
          <w:tcPr>
            <w:tcW w:w="3500" w:type="dxa"/>
            <w:gridSpan w:val="2"/>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资料收集费</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按实际支出费用计算。</w:t>
            </w: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试验研究费</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按实际支出费用计算。</w:t>
            </w: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会议费</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按实际支出费用计算。</w:t>
            </w: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专家咨询费</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按实际支出费用计算。</w:t>
            </w: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r w:rsidR="00294F5A" w:rsidTr="00103A02">
        <w:trPr>
          <w:cantSplit/>
          <w:trHeight w:val="158"/>
        </w:trPr>
        <w:tc>
          <w:tcPr>
            <w:tcW w:w="657" w:type="dxa"/>
            <w:vMerge/>
            <w:tcBorders>
              <w:top w:val="nil"/>
              <w:left w:val="single" w:sz="6" w:space="0" w:color="auto"/>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c>
          <w:tcPr>
            <w:tcW w:w="3649"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差旅交通费</w:t>
            </w:r>
          </w:p>
        </w:tc>
        <w:tc>
          <w:tcPr>
            <w:tcW w:w="3500" w:type="dxa"/>
            <w:gridSpan w:val="2"/>
            <w:tcBorders>
              <w:top w:val="nil"/>
              <w:left w:val="nil"/>
              <w:bottom w:val="single" w:sz="6" w:space="0" w:color="auto"/>
              <w:right w:val="single" w:sz="6" w:space="0" w:color="auto"/>
            </w:tcBorders>
            <w:shd w:val="clear" w:color="auto" w:fill="FFFFFF"/>
            <w:tcMar>
              <w:top w:w="0" w:type="dxa"/>
              <w:left w:w="30" w:type="dxa"/>
              <w:bottom w:w="0" w:type="dxa"/>
              <w:right w:w="30" w:type="dxa"/>
            </w:tcMar>
            <w:vAlign w:val="center"/>
          </w:tcPr>
          <w:p w:rsidR="00294F5A" w:rsidRDefault="00294F5A" w:rsidP="00103A02">
            <w:pPr>
              <w:spacing w:line="520" w:lineRule="exact"/>
              <w:rPr>
                <w:rFonts w:ascii="仿宋" w:eastAsia="仿宋" w:hAnsi="仿宋" w:cs="仿宋"/>
                <w:sz w:val="28"/>
                <w:szCs w:val="28"/>
              </w:rPr>
            </w:pPr>
            <w:r>
              <w:rPr>
                <w:rFonts w:ascii="仿宋" w:eastAsia="仿宋" w:hAnsi="仿宋" w:cs="仿宋" w:hint="eastAsia"/>
                <w:sz w:val="28"/>
                <w:szCs w:val="28"/>
              </w:rPr>
              <w:t>按实际支出费用计算。</w:t>
            </w:r>
          </w:p>
        </w:tc>
        <w:tc>
          <w:tcPr>
            <w:tcW w:w="1324" w:type="dxa"/>
            <w:vMerge/>
            <w:tcBorders>
              <w:top w:val="nil"/>
              <w:left w:val="nil"/>
              <w:bottom w:val="single" w:sz="6" w:space="0" w:color="auto"/>
              <w:right w:val="single" w:sz="6" w:space="0" w:color="auto"/>
            </w:tcBorders>
            <w:shd w:val="clear" w:color="auto" w:fill="FFFFFF"/>
            <w:vAlign w:val="center"/>
          </w:tcPr>
          <w:p w:rsidR="00294F5A" w:rsidRDefault="00294F5A" w:rsidP="00103A02">
            <w:pPr>
              <w:spacing w:line="520" w:lineRule="exact"/>
              <w:rPr>
                <w:rFonts w:ascii="仿宋" w:eastAsia="仿宋" w:hAnsi="仿宋" w:cs="仿宋"/>
                <w:sz w:val="28"/>
                <w:szCs w:val="28"/>
              </w:rPr>
            </w:pPr>
          </w:p>
        </w:tc>
      </w:tr>
    </w:tbl>
    <w:p w:rsidR="00294F5A" w:rsidRDefault="00294F5A" w:rsidP="00294F5A">
      <w:pPr>
        <w:spacing w:line="520" w:lineRule="exact"/>
        <w:rPr>
          <w:rFonts w:ascii="仿宋" w:eastAsia="仿宋" w:hAnsi="仿宋" w:cs="仿宋"/>
          <w:sz w:val="28"/>
          <w:szCs w:val="28"/>
        </w:rPr>
      </w:pPr>
      <w:r>
        <w:rPr>
          <w:rFonts w:ascii="仿宋" w:eastAsia="仿宋" w:hAnsi="仿宋" w:cs="仿宋" w:hint="eastAsia"/>
          <w:sz w:val="28"/>
          <w:szCs w:val="28"/>
        </w:rPr>
        <w:t>注*： 基础费用包括办公费、打印费、前期咨询费等鉴定机构接受委托必要的支出。</w:t>
      </w: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spacing w:line="520" w:lineRule="exact"/>
        <w:rPr>
          <w:rFonts w:ascii="仿宋" w:eastAsia="仿宋" w:hAnsi="仿宋" w:cs="仿宋"/>
          <w:sz w:val="28"/>
          <w:szCs w:val="28"/>
        </w:rPr>
      </w:pPr>
    </w:p>
    <w:p w:rsidR="00294F5A" w:rsidRDefault="00294F5A" w:rsidP="00294F5A">
      <w:pPr>
        <w:pStyle w:val="1"/>
        <w:spacing w:beforeAutospacing="0" w:afterAutospacing="0" w:line="520" w:lineRule="exact"/>
        <w:rPr>
          <w:rFonts w:ascii="仿宋" w:eastAsia="仿宋" w:hAnsi="仿宋" w:cs="仿宋" w:hint="default"/>
          <w:sz w:val="28"/>
          <w:szCs w:val="28"/>
        </w:rPr>
      </w:pPr>
      <w:r>
        <w:rPr>
          <w:rFonts w:ascii="仿宋" w:eastAsia="仿宋" w:hAnsi="仿宋" w:cs="仿宋"/>
          <w:sz w:val="28"/>
          <w:szCs w:val="28"/>
        </w:rPr>
        <w:t xml:space="preserve">   </w:t>
      </w:r>
    </w:p>
    <w:p w:rsidR="00356138" w:rsidRPr="00294F5A" w:rsidRDefault="00356138"/>
    <w:sectPr w:rsidR="00356138" w:rsidRPr="00294F5A"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E06" w:rsidRDefault="00E37E06" w:rsidP="00294F5A">
      <w:r>
        <w:separator/>
      </w:r>
    </w:p>
  </w:endnote>
  <w:endnote w:type="continuationSeparator" w:id="0">
    <w:p w:rsidR="00E37E06" w:rsidRDefault="00E37E06" w:rsidP="00294F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E06" w:rsidRDefault="00E37E06" w:rsidP="00294F5A">
      <w:r>
        <w:separator/>
      </w:r>
    </w:p>
  </w:footnote>
  <w:footnote w:type="continuationSeparator" w:id="0">
    <w:p w:rsidR="00E37E06" w:rsidRDefault="00E37E06" w:rsidP="00294F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4F5A"/>
    <w:rsid w:val="00294F5A"/>
    <w:rsid w:val="00356138"/>
    <w:rsid w:val="00E37E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F5A"/>
    <w:pPr>
      <w:widowControl w:val="0"/>
      <w:jc w:val="both"/>
    </w:pPr>
    <w:rPr>
      <w:szCs w:val="24"/>
    </w:rPr>
  </w:style>
  <w:style w:type="paragraph" w:styleId="1">
    <w:name w:val="heading 1"/>
    <w:basedOn w:val="a"/>
    <w:next w:val="a"/>
    <w:link w:val="1Char"/>
    <w:qFormat/>
    <w:rsid w:val="00294F5A"/>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4F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94F5A"/>
    <w:rPr>
      <w:sz w:val="18"/>
      <w:szCs w:val="18"/>
    </w:rPr>
  </w:style>
  <w:style w:type="paragraph" w:styleId="a4">
    <w:name w:val="footer"/>
    <w:basedOn w:val="a"/>
    <w:link w:val="Char0"/>
    <w:uiPriority w:val="99"/>
    <w:semiHidden/>
    <w:unhideWhenUsed/>
    <w:rsid w:val="00294F5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94F5A"/>
    <w:rPr>
      <w:sz w:val="18"/>
      <w:szCs w:val="18"/>
    </w:rPr>
  </w:style>
  <w:style w:type="character" w:customStyle="1" w:styleId="1Char">
    <w:name w:val="标题 1 Char"/>
    <w:basedOn w:val="a0"/>
    <w:link w:val="1"/>
    <w:rsid w:val="00294F5A"/>
    <w:rPr>
      <w:rFonts w:ascii="宋体" w:eastAsia="宋体" w:hAnsi="宋体" w:cs="Times New Roman"/>
      <w:b/>
      <w:kern w:val="44"/>
      <w:sz w:val="48"/>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223</Words>
  <Characters>1272</Characters>
  <Application>Microsoft Office Word</Application>
  <DocSecurity>0</DocSecurity>
  <Lines>10</Lines>
  <Paragraphs>2</Paragraphs>
  <ScaleCrop>false</ScaleCrop>
  <Company>Lenovo</Company>
  <LinksUpToDate>false</LinksUpToDate>
  <CharactersWithSpaces>1493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2018-05-11T08:27:00Z</dcterms:created>
  <dcterms:modified xsi:type="dcterms:W3CDTF">2018-05-11T08:27:00Z</dcterms:modified>
</cp:coreProperties>
</file>