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kern w:val="2"/>
          <w:sz w:val="21"/>
          <w:szCs w:val="24"/>
          <w:lang w:val="en-US" w:eastAsia="zh-CN" w:bidi="ar-SA"/>
        </w:rPr>
      </w:pPr>
    </w:p>
    <w:p>
      <w:pPr>
        <w:rPr>
          <w:kern w:val="2"/>
          <w:sz w:val="21"/>
          <w:szCs w:val="24"/>
          <w:lang w:val="en-US" w:eastAsia="zh-CN" w:bidi="ar-SA"/>
        </w:rPr>
      </w:pPr>
    </w:p>
    <w:p>
      <w:pPr>
        <w:rPr>
          <w:kern w:val="2"/>
          <w:sz w:val="21"/>
          <w:szCs w:val="24"/>
          <w:lang w:val="en-US" w:eastAsia="zh-CN" w:bidi="ar-SA"/>
        </w:rPr>
      </w:pPr>
      <w:bookmarkStart w:id="0" w:name="_GoBack"/>
      <w:bookmarkEnd w:id="0"/>
    </w:p>
    <w:p>
      <w:pPr>
        <w:spacing w:line="560" w:lineRule="exact"/>
        <w:jc w:val="center"/>
        <w:rPr>
          <w:rFonts w:eastAsia="方正小标宋_GBK"/>
          <w:sz w:val="44"/>
          <w:szCs w:val="44"/>
        </w:rPr>
      </w:pPr>
      <w:r>
        <w:rPr>
          <w:rFonts w:hint="eastAsia" w:eastAsia="方正小标宋_GBK"/>
          <w:sz w:val="44"/>
          <w:szCs w:val="44"/>
        </w:rPr>
        <w:t>履责较差项目清单</w:t>
      </w:r>
    </w:p>
    <w:tbl>
      <w:tblPr>
        <w:tblStyle w:val="5"/>
        <w:tblW w:w="137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4502"/>
        <w:gridCol w:w="2551"/>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blHeader/>
        </w:trPr>
        <w:tc>
          <w:tcPr>
            <w:tcW w:w="568" w:type="dxa"/>
            <w:vAlign w:val="center"/>
          </w:tcPr>
          <w:p>
            <w:pPr>
              <w:spacing w:line="440" w:lineRule="exact"/>
              <w:jc w:val="center"/>
              <w:rPr>
                <w:rFonts w:hAnsi="方正黑体_GBK" w:eastAsia="方正黑体_GBK"/>
                <w:bCs/>
                <w:sz w:val="32"/>
                <w:szCs w:val="32"/>
              </w:rPr>
            </w:pPr>
            <w:r>
              <w:rPr>
                <w:rFonts w:hint="eastAsia" w:hAnsi="方正黑体_GBK" w:eastAsia="方正黑体_GBK"/>
                <w:bCs/>
                <w:sz w:val="32"/>
                <w:szCs w:val="32"/>
              </w:rPr>
              <w:t>序号</w:t>
            </w:r>
          </w:p>
        </w:tc>
        <w:tc>
          <w:tcPr>
            <w:tcW w:w="4502" w:type="dxa"/>
            <w:vAlign w:val="center"/>
          </w:tcPr>
          <w:p>
            <w:pPr>
              <w:spacing w:line="440" w:lineRule="exact"/>
              <w:jc w:val="center"/>
              <w:rPr>
                <w:rFonts w:hAnsi="方正黑体_GBK" w:eastAsia="方正黑体_GBK"/>
                <w:bCs/>
                <w:sz w:val="32"/>
                <w:szCs w:val="32"/>
              </w:rPr>
            </w:pPr>
            <w:r>
              <w:rPr>
                <w:rFonts w:hint="eastAsia" w:hAnsi="方正黑体_GBK" w:eastAsia="方正黑体_GBK"/>
                <w:bCs/>
                <w:sz w:val="32"/>
                <w:szCs w:val="32"/>
              </w:rPr>
              <w:t>环评文件</w:t>
            </w:r>
          </w:p>
        </w:tc>
        <w:tc>
          <w:tcPr>
            <w:tcW w:w="2551" w:type="dxa"/>
            <w:vAlign w:val="center"/>
          </w:tcPr>
          <w:p>
            <w:pPr>
              <w:spacing w:line="440" w:lineRule="exact"/>
              <w:jc w:val="center"/>
              <w:rPr>
                <w:rFonts w:hAnsi="方正黑体_GBK" w:eastAsia="方正黑体_GBK"/>
                <w:bCs/>
                <w:sz w:val="32"/>
                <w:szCs w:val="32"/>
              </w:rPr>
            </w:pPr>
            <w:r>
              <w:rPr>
                <w:rFonts w:hint="eastAsia" w:hAnsi="方正黑体_GBK" w:eastAsia="方正黑体_GBK"/>
                <w:bCs/>
                <w:sz w:val="32"/>
                <w:szCs w:val="32"/>
              </w:rPr>
              <w:t>技术审查人员</w:t>
            </w:r>
          </w:p>
        </w:tc>
        <w:tc>
          <w:tcPr>
            <w:tcW w:w="6095" w:type="dxa"/>
            <w:vAlign w:val="center"/>
          </w:tcPr>
          <w:p>
            <w:pPr>
              <w:spacing w:line="440" w:lineRule="exact"/>
              <w:jc w:val="center"/>
              <w:rPr>
                <w:rFonts w:hAnsi="方正黑体_GBK" w:eastAsia="方正黑体_GBK"/>
                <w:bCs/>
                <w:sz w:val="32"/>
                <w:szCs w:val="32"/>
              </w:rPr>
            </w:pPr>
            <w:r>
              <w:rPr>
                <w:rFonts w:hint="eastAsia" w:hAnsi="方正黑体_GBK" w:eastAsia="方正黑体_GBK"/>
                <w:bCs/>
                <w:sz w:val="32"/>
                <w:szCs w:val="32"/>
              </w:rPr>
              <w:t>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568"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1</w:t>
            </w:r>
          </w:p>
        </w:tc>
        <w:tc>
          <w:tcPr>
            <w:tcW w:w="4502"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三五三三印染服装总厂有限公司“新型环保纺织、印染迁建技改项目</w:t>
            </w:r>
          </w:p>
        </w:tc>
        <w:tc>
          <w:tcPr>
            <w:tcW w:w="2551" w:type="dxa"/>
            <w:vAlign w:val="center"/>
          </w:tcPr>
          <w:p>
            <w:pPr>
              <w:spacing w:line="4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徐放、黄胜炎、汪玲</w:t>
            </w:r>
          </w:p>
        </w:tc>
        <w:tc>
          <w:tcPr>
            <w:tcW w:w="6095"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环评文件存在重要环境敏感目标（饮用水源等）识别遗漏；企业现状产能、产排污情况等调查不清，“以新带老”措施不明等问题。专家未识别出上述问题。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trPr>
        <w:tc>
          <w:tcPr>
            <w:tcW w:w="568"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2</w:t>
            </w:r>
          </w:p>
        </w:tc>
        <w:tc>
          <w:tcPr>
            <w:tcW w:w="4502"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酉阳县德运水电开发有限公司酉阳县牛洞水电站工程建设项目环境影响报告书</w:t>
            </w:r>
          </w:p>
        </w:tc>
        <w:tc>
          <w:tcPr>
            <w:tcW w:w="2551" w:type="dxa"/>
            <w:vAlign w:val="center"/>
          </w:tcPr>
          <w:p>
            <w:pPr>
              <w:spacing w:line="4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余登涛、汪洪、徐光宏</w:t>
            </w:r>
          </w:p>
        </w:tc>
        <w:tc>
          <w:tcPr>
            <w:tcW w:w="6095"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专家组意见未提出“项目应与流域开发规划环评或回顾性评价进行符合性分析”的意见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568"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3</w:t>
            </w:r>
          </w:p>
        </w:tc>
        <w:tc>
          <w:tcPr>
            <w:tcW w:w="4502"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重庆市万盛经开区板辽水库扩建工程环境影响报告书</w:t>
            </w:r>
          </w:p>
        </w:tc>
        <w:tc>
          <w:tcPr>
            <w:tcW w:w="2551" w:type="dxa"/>
            <w:vAlign w:val="center"/>
          </w:tcPr>
          <w:p>
            <w:pPr>
              <w:spacing w:line="4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刘玉洁、陶忠荣、查忠勇</w:t>
            </w:r>
          </w:p>
        </w:tc>
        <w:tc>
          <w:tcPr>
            <w:tcW w:w="6095"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专家组意见提出了“核实生态红线”的要求，但未明确项目涉及的具体环境敏感目标黑山县级自然保护区、黑山-石林市级风景名胜区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568"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4</w:t>
            </w:r>
          </w:p>
        </w:tc>
        <w:tc>
          <w:tcPr>
            <w:tcW w:w="4502"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巫溪县石拱桥水电站工程环境影响报告书</w:t>
            </w:r>
          </w:p>
        </w:tc>
        <w:tc>
          <w:tcPr>
            <w:tcW w:w="2551" w:type="dxa"/>
            <w:vAlign w:val="center"/>
          </w:tcPr>
          <w:p>
            <w:pPr>
              <w:spacing w:line="4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陶忠荣、付金明、高殿森</w:t>
            </w:r>
          </w:p>
        </w:tc>
        <w:tc>
          <w:tcPr>
            <w:tcW w:w="6095" w:type="dxa"/>
            <w:vAlign w:val="center"/>
          </w:tcPr>
          <w:p>
            <w:pPr>
              <w:spacing w:line="44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专家组意见未提出项目与《重庆市大宁河水电规划报告》及规划环评不符合的问题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568"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5</w:t>
            </w:r>
          </w:p>
        </w:tc>
        <w:tc>
          <w:tcPr>
            <w:tcW w:w="4502"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巫溪县汇通5号水电站工程环境影响报告书</w:t>
            </w:r>
          </w:p>
        </w:tc>
        <w:tc>
          <w:tcPr>
            <w:tcW w:w="2551"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陶忠荣、王冬、高殿森</w:t>
            </w:r>
          </w:p>
        </w:tc>
        <w:tc>
          <w:tcPr>
            <w:tcW w:w="6095"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专家组意见未提出“项目与《重庆市大宁河水电规划报告》及规划环评不符合的问题</w:t>
            </w:r>
          </w:p>
        </w:tc>
      </w:tr>
    </w:tbl>
    <w:p>
      <w:pPr>
        <w:ind w:firstLine="508" w:firstLineChars="0"/>
        <w:jc w:val="left"/>
        <w:rPr>
          <w:lang w:val="en-US" w:eastAsia="zh-CN"/>
        </w:rPr>
      </w:pPr>
    </w:p>
    <w:sectPr>
      <w:pgSz w:w="16783" w:h="2375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CD6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2018-05-24T01:40:25Z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